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p w:rsidR="00080AF1" w:rsidRDefault="00080AF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4D13D0" w:rsidRPr="00626A3F" w:rsidRDefault="004D13D0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0AF1" w:rsidRPr="00F04822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</w:t>
      </w:r>
      <w:r w:rsidR="004D13D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</w:t>
      </w:r>
      <w:r w:rsidR="004D13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иных ограничений, направленных на предотвращение распространения </w:t>
      </w:r>
      <w:r w:rsidR="004D13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ликвидацию очагов африканской чумы свиней»,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протоколов испытаний </w:t>
      </w:r>
      <w:r w:rsidR="003C40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ГБУ «</w:t>
      </w:r>
      <w:r w:rsidR="003C401A">
        <w:rPr>
          <w:rFonts w:ascii="Times New Roman" w:hAnsi="Times New Roman" w:cs="Times New Roman"/>
          <w:sz w:val="28"/>
          <w:szCs w:val="28"/>
        </w:rPr>
        <w:t>Хабаровская краевая</w:t>
      </w:r>
      <w:r>
        <w:rPr>
          <w:rFonts w:ascii="Times New Roman" w:hAnsi="Times New Roman" w:cs="Times New Roman"/>
          <w:sz w:val="28"/>
          <w:szCs w:val="28"/>
        </w:rPr>
        <w:t xml:space="preserve"> ветеринарная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лаборатория»</w:t>
      </w:r>
      <w:r w:rsidR="003C401A">
        <w:rPr>
          <w:rFonts w:ascii="Times New Roman" w:hAnsi="Times New Roman" w:cs="Times New Roman"/>
          <w:sz w:val="28"/>
          <w:szCs w:val="28"/>
        </w:rPr>
        <w:t xml:space="preserve"> </w:t>
      </w:r>
      <w:r w:rsidR="004D13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401A">
        <w:rPr>
          <w:rFonts w:ascii="Times New Roman" w:hAnsi="Times New Roman" w:cs="Times New Roman"/>
          <w:sz w:val="28"/>
          <w:szCs w:val="28"/>
        </w:rPr>
        <w:t>от 10.09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3C401A">
        <w:rPr>
          <w:rFonts w:ascii="Times New Roman" w:hAnsi="Times New Roman" w:cs="Times New Roman"/>
          <w:sz w:val="28"/>
          <w:szCs w:val="28"/>
        </w:rPr>
        <w:t>4577/д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="003C401A">
        <w:rPr>
          <w:rFonts w:ascii="Times New Roman" w:hAnsi="Times New Roman" w:cs="Times New Roman"/>
          <w:sz w:val="28"/>
          <w:szCs w:val="28"/>
        </w:rPr>
        <w:t>от 10.09</w:t>
      </w:r>
      <w:r w:rsidRPr="00250EC2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01-08/</w:t>
      </w:r>
      <w:r w:rsidR="003C401A">
        <w:rPr>
          <w:rFonts w:ascii="Times New Roman" w:hAnsi="Times New Roman" w:cs="Times New Roman"/>
          <w:sz w:val="28"/>
          <w:szCs w:val="28"/>
        </w:rPr>
        <w:t>1016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A3F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африканская чума свиней </w:t>
      </w:r>
      <w:r w:rsidR="004D13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</w:t>
      </w:r>
      <w:r w:rsidR="003C401A">
        <w:rPr>
          <w:rFonts w:ascii="Times New Roman" w:hAnsi="Times New Roman" w:cs="Times New Roman"/>
          <w:sz w:val="28"/>
          <w:szCs w:val="28"/>
        </w:rPr>
        <w:t>Котенковой Александры Геннадьевны</w:t>
      </w:r>
      <w:proofErr w:type="gramEnd"/>
      <w:r w:rsidRPr="00F04822">
        <w:rPr>
          <w:rFonts w:ascii="Times New Roman" w:hAnsi="Times New Roman" w:cs="Times New Roman"/>
          <w:sz w:val="28"/>
          <w:szCs w:val="28"/>
        </w:rPr>
        <w:t>,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822">
        <w:rPr>
          <w:rFonts w:ascii="Times New Roman" w:hAnsi="Times New Roman" w:cs="Times New Roman"/>
          <w:color w:val="000000"/>
          <w:sz w:val="28"/>
          <w:szCs w:val="28"/>
        </w:rPr>
        <w:t>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F048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04822">
        <w:rPr>
          <w:rFonts w:ascii="Times New Roman" w:hAnsi="Times New Roman" w:cs="Times New Roman"/>
          <w:sz w:val="28"/>
          <w:szCs w:val="28"/>
        </w:rPr>
        <w:t>Еврейская автоном</w:t>
      </w:r>
      <w:r>
        <w:rPr>
          <w:rFonts w:ascii="Times New Roman" w:hAnsi="Times New Roman" w:cs="Times New Roman"/>
          <w:sz w:val="28"/>
          <w:szCs w:val="28"/>
        </w:rPr>
        <w:t xml:space="preserve">ная область, </w:t>
      </w:r>
      <w:r w:rsidR="003C401A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3C401A">
        <w:rPr>
          <w:rFonts w:ascii="Times New Roman" w:hAnsi="Times New Roman" w:cs="Times New Roman"/>
          <w:sz w:val="28"/>
          <w:szCs w:val="28"/>
        </w:rPr>
        <w:t>. Пузино</w:t>
      </w:r>
      <w:r w:rsidRPr="00F0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C401A">
        <w:rPr>
          <w:rFonts w:ascii="Times New Roman" w:hAnsi="Times New Roman" w:cs="Times New Roman"/>
          <w:sz w:val="28"/>
          <w:szCs w:val="28"/>
        </w:rPr>
        <w:t>Юбилейная, д. 5</w:t>
      </w:r>
      <w:r>
        <w:rPr>
          <w:rFonts w:ascii="Times New Roman" w:hAnsi="Times New Roman" w:cs="Times New Roman"/>
          <w:sz w:val="28"/>
          <w:szCs w:val="28"/>
        </w:rPr>
        <w:t>, кв. 2,</w:t>
      </w:r>
      <w:proofErr w:type="gramEnd"/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0AF1" w:rsidRPr="00626A3F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Установить ограничительные мероприятия (карантин) </w:t>
      </w:r>
      <w:r w:rsidR="004D13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6A3F">
        <w:rPr>
          <w:rFonts w:ascii="Times New Roman" w:hAnsi="Times New Roman" w:cs="Times New Roman"/>
          <w:sz w:val="28"/>
          <w:szCs w:val="28"/>
        </w:rPr>
        <w:t>по африканской чуме свиней применительно к следующим территориям Еврейской автономной области:</w:t>
      </w:r>
    </w:p>
    <w:p w:rsidR="003C401A" w:rsidRPr="00F04822" w:rsidRDefault="00080AF1" w:rsidP="003C40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1.1. Признать эпизоотическим очаг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3C401A">
        <w:rPr>
          <w:rFonts w:ascii="Times New Roman" w:hAnsi="Times New Roman" w:cs="Times New Roman"/>
          <w:sz w:val="28"/>
          <w:szCs w:val="28"/>
        </w:rPr>
        <w:t>личного подворья Котенковой Александры Геннадьевны</w:t>
      </w:r>
      <w:r w:rsidR="003C401A" w:rsidRPr="00F04822">
        <w:rPr>
          <w:rFonts w:ascii="Times New Roman" w:hAnsi="Times New Roman" w:cs="Times New Roman"/>
          <w:sz w:val="28"/>
          <w:szCs w:val="28"/>
        </w:rPr>
        <w:t>,</w:t>
      </w:r>
      <w:r w:rsidR="003C401A"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</w:t>
      </w:r>
      <w:r w:rsidR="003C40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C401A"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3C401A" w:rsidRPr="00F04822">
        <w:rPr>
          <w:rFonts w:ascii="Times New Roman" w:hAnsi="Times New Roman" w:cs="Times New Roman"/>
          <w:sz w:val="28"/>
          <w:szCs w:val="28"/>
        </w:rPr>
        <w:t>: Еврейская автоном</w:t>
      </w:r>
      <w:r w:rsidR="003C401A">
        <w:rPr>
          <w:rFonts w:ascii="Times New Roman" w:hAnsi="Times New Roman" w:cs="Times New Roman"/>
          <w:sz w:val="28"/>
          <w:szCs w:val="28"/>
        </w:rPr>
        <w:t>ная область, Октябрьский район, с. Пузино</w:t>
      </w:r>
      <w:r w:rsidR="003C401A" w:rsidRPr="00F04822">
        <w:rPr>
          <w:rFonts w:ascii="Times New Roman" w:hAnsi="Times New Roman" w:cs="Times New Roman"/>
          <w:sz w:val="28"/>
          <w:szCs w:val="28"/>
        </w:rPr>
        <w:t xml:space="preserve">, </w:t>
      </w:r>
      <w:r w:rsidR="003C401A">
        <w:rPr>
          <w:rFonts w:ascii="Times New Roman" w:hAnsi="Times New Roman" w:cs="Times New Roman"/>
          <w:sz w:val="28"/>
          <w:szCs w:val="28"/>
        </w:rPr>
        <w:t>ул. Юбилейная, д. 5, кв. 2.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Признать инфицированными объектами африканской чумы свиней животноводческие помещения лично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 подворья </w:t>
      </w:r>
      <w:r w:rsidR="003C401A">
        <w:rPr>
          <w:rFonts w:ascii="Times New Roman" w:hAnsi="Times New Roman" w:cs="Times New Roman"/>
          <w:sz w:val="28"/>
          <w:szCs w:val="28"/>
        </w:rPr>
        <w:t xml:space="preserve">Котенковой Александры </w:t>
      </w:r>
      <w:r w:rsidR="003C401A">
        <w:rPr>
          <w:rFonts w:ascii="Times New Roman" w:hAnsi="Times New Roman" w:cs="Times New Roman"/>
          <w:sz w:val="28"/>
          <w:szCs w:val="28"/>
        </w:rPr>
        <w:lastRenderedPageBreak/>
        <w:t>Геннадьевны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 xml:space="preserve">риканской чуме свиней территорию в радиусе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, включая территори</w:t>
      </w:r>
      <w:r w:rsidR="003C40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C401A">
        <w:rPr>
          <w:rFonts w:ascii="Times New Roman" w:hAnsi="Times New Roman" w:cs="Times New Roman"/>
          <w:sz w:val="28"/>
          <w:szCs w:val="28"/>
        </w:rPr>
        <w:t xml:space="preserve">. </w:t>
      </w:r>
      <w:r w:rsidR="006947B3">
        <w:rPr>
          <w:rFonts w:ascii="Times New Roman" w:hAnsi="Times New Roman" w:cs="Times New Roman"/>
          <w:sz w:val="28"/>
          <w:szCs w:val="28"/>
        </w:rPr>
        <w:t>Пузино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7B3">
        <w:rPr>
          <w:rFonts w:ascii="Times New Roman" w:hAnsi="Times New Roman" w:cs="Times New Roman"/>
          <w:sz w:val="28"/>
          <w:szCs w:val="28"/>
        </w:rPr>
        <w:t>Амурзетского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3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947B3">
        <w:rPr>
          <w:rFonts w:ascii="Times New Roman" w:hAnsi="Times New Roman" w:cs="Times New Roman"/>
          <w:sz w:val="28"/>
          <w:szCs w:val="28"/>
        </w:rPr>
        <w:t>Октябрьского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4D13D0">
        <w:rPr>
          <w:rFonts w:ascii="Times New Roman" w:hAnsi="Times New Roman" w:cs="Times New Roman"/>
          <w:sz w:val="28"/>
          <w:szCs w:val="28"/>
        </w:rPr>
        <w:t xml:space="preserve">в радиусе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.</w:t>
      </w:r>
    </w:p>
    <w:p w:rsidR="00080AF1" w:rsidRPr="00626A3F" w:rsidRDefault="00080AF1" w:rsidP="00080AF1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эпизоотическ</w:t>
      </w:r>
      <w:r>
        <w:rPr>
          <w:rStyle w:val="2"/>
          <w:sz w:val="28"/>
          <w:szCs w:val="28"/>
        </w:rPr>
        <w:t>ого</w:t>
      </w:r>
      <w:r w:rsidRPr="00626A3F">
        <w:rPr>
          <w:rStyle w:val="2"/>
          <w:sz w:val="28"/>
          <w:szCs w:val="28"/>
        </w:rPr>
        <w:t xml:space="preserve"> очаг</w:t>
      </w:r>
      <w:r>
        <w:rPr>
          <w:rStyle w:val="2"/>
          <w:sz w:val="28"/>
          <w:szCs w:val="28"/>
        </w:rPr>
        <w:t>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080AF1" w:rsidRPr="00626A3F" w:rsidRDefault="00080AF1" w:rsidP="00080AF1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080AF1" w:rsidRPr="00626A3F" w:rsidRDefault="00080AF1" w:rsidP="00080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Default="00080AF1" w:rsidP="0008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A3F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 xml:space="preserve"> 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Р.Э. Гольдштейн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8357B6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1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</w:t>
            </w:r>
            <w:r w:rsidR="00080AF1">
              <w:rPr>
                <w:rFonts w:ascii="Times New Roman" w:hAnsi="Times New Roman" w:cs="Times New Roman"/>
                <w:b/>
                <w:sz w:val="22"/>
                <w:szCs w:val="22"/>
              </w:rPr>
              <w:t>ческом очаге и на инфицированных объектах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proofErr w:type="spellStart"/>
            <w:r w:rsidR="00323F8C"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 w:rsidR="00080AF1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23F8C">
              <w:rPr>
                <w:rStyle w:val="212pt"/>
                <w:sz w:val="22"/>
                <w:szCs w:val="22"/>
              </w:rPr>
              <w:t>Октябрьского</w:t>
            </w:r>
            <w:r w:rsidR="00080AF1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</w:p>
          <w:p w:rsidR="00080AF1" w:rsidRPr="009C2FCF" w:rsidRDefault="00323F8C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rStyle w:val="212pt"/>
                <w:sz w:val="22"/>
                <w:szCs w:val="22"/>
              </w:rPr>
              <w:t xml:space="preserve">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84005C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дезбарьеров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, средствами связи. На дорогах установить соответствующие технические средства организации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дорожного движения и указатели: «Карантин», 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  <w:r w:rsidR="004D13D0" w:rsidRPr="009C2FCF">
              <w:rPr>
                <w:rStyle w:val="212pt"/>
                <w:sz w:val="22"/>
                <w:szCs w:val="22"/>
              </w:rPr>
              <w:t xml:space="preserve">управление </w:t>
            </w:r>
            <w:proofErr w:type="spellStart"/>
            <w:r w:rsidR="004D13D0" w:rsidRPr="009C2FCF">
              <w:rPr>
                <w:rStyle w:val="212pt"/>
                <w:sz w:val="22"/>
                <w:szCs w:val="22"/>
              </w:rPr>
              <w:t>Россельхоз</w:t>
            </w:r>
            <w:r w:rsidR="004D13D0">
              <w:rPr>
                <w:rStyle w:val="212pt"/>
                <w:sz w:val="22"/>
                <w:szCs w:val="22"/>
              </w:rPr>
              <w:t>надзора</w:t>
            </w:r>
            <w:proofErr w:type="spellEnd"/>
            <w:r w:rsidR="004D13D0">
              <w:rPr>
                <w:rStyle w:val="212pt"/>
                <w:sz w:val="22"/>
                <w:szCs w:val="22"/>
              </w:rPr>
              <w:t xml:space="preserve">   по Хабаровскому краю, </w:t>
            </w:r>
            <w:r w:rsidR="004D13D0" w:rsidRPr="009C2FCF">
              <w:rPr>
                <w:rStyle w:val="212pt"/>
                <w:sz w:val="22"/>
                <w:szCs w:val="22"/>
              </w:rPr>
              <w:t>Еврейской автономной и</w:t>
            </w:r>
            <w:r w:rsidR="004D13D0">
              <w:rPr>
                <w:rStyle w:val="212pt"/>
                <w:sz w:val="22"/>
                <w:szCs w:val="22"/>
              </w:rPr>
              <w:t xml:space="preserve"> Магаданской областям</w:t>
            </w:r>
            <w:r w:rsidR="004D13D0"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</w:t>
            </w:r>
            <w:r w:rsidR="004D13D0" w:rsidRPr="009C2FCF">
              <w:rPr>
                <w:rStyle w:val="212pt"/>
                <w:sz w:val="22"/>
                <w:szCs w:val="22"/>
              </w:rPr>
              <w:lastRenderedPageBreak/>
              <w:t>(по согласованию)</w:t>
            </w:r>
            <w:r w:rsidR="004D13D0">
              <w:rPr>
                <w:rStyle w:val="212pt"/>
                <w:sz w:val="22"/>
                <w:szCs w:val="22"/>
              </w:rPr>
              <w:t>,</w:t>
            </w:r>
          </w:p>
          <w:p w:rsidR="00FC04A0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автомобильных дорог правительства Еврейской автономной области, управление МВД России по Еврейской автономной области (по согласованию), </w:t>
            </w:r>
          </w:p>
          <w:p w:rsidR="00080AF1" w:rsidRPr="009C2FCF" w:rsidRDefault="00FC04A0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rStyle w:val="212pt"/>
                <w:sz w:val="22"/>
                <w:szCs w:val="22"/>
              </w:rPr>
              <w:t xml:space="preserve">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84005C" w:rsidRPr="003C624D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Дезобработку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Немедленно</w:t>
            </w:r>
          </w:p>
        </w:tc>
        <w:tc>
          <w:tcPr>
            <w:tcW w:w="1950" w:type="dxa"/>
          </w:tcPr>
          <w:p w:rsidR="00FC04A0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Владельцы свиней, </w:t>
            </w:r>
          </w:p>
          <w:p w:rsidR="00080AF1" w:rsidRPr="009C2FCF" w:rsidRDefault="00FC04A0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lastRenderedPageBreak/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rStyle w:val="212pt"/>
                <w:sz w:val="22"/>
                <w:szCs w:val="22"/>
              </w:rPr>
              <w:t xml:space="preserve">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горячий едкий натр,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ная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хлорная известь,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глутаровый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альдегид, 5%-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однохлористый йод, 2%-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формалин (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параформальдегид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), хлорамин и другие разрешенные препараты с высокой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вирулицидной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активностью в отношении вируса АЧС,                     в частности,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биоциды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FC04A0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shd w:val="clear" w:color="auto" w:fill="FFFFFF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</w:p>
          <w:p w:rsidR="004867C0" w:rsidRPr="006315CB" w:rsidRDefault="00FC04A0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pacing w:val="0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формальдегид, 3%-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ныйфоспар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или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парасод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параформ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приготовленный на 0,5%-ном растворе едкого натра,   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области,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 </w:t>
            </w:r>
          </w:p>
          <w:p w:rsidR="004867C0" w:rsidRPr="009C2FCF" w:rsidRDefault="00FC04A0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rStyle w:val="212pt"/>
                <w:sz w:val="22"/>
                <w:szCs w:val="22"/>
              </w:rPr>
              <w:t xml:space="preserve">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lastRenderedPageBreak/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proofErr w:type="spellStart"/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Областное 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FC04A0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</w:p>
          <w:p w:rsidR="004867C0" w:rsidRPr="009C2FCF" w:rsidRDefault="00FC04A0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rStyle w:val="212pt"/>
                <w:sz w:val="22"/>
                <w:szCs w:val="22"/>
              </w:rPr>
              <w:t xml:space="preserve">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3C624D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FC04A0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</w:p>
          <w:p w:rsidR="004867C0" w:rsidRPr="009C2FCF" w:rsidRDefault="00FC04A0" w:rsidP="006315CB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6315CB">
              <w:rPr>
                <w:rStyle w:val="212pt"/>
                <w:sz w:val="22"/>
                <w:szCs w:val="22"/>
              </w:rPr>
              <w:t xml:space="preserve">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Россельхозн</w:t>
            </w:r>
            <w:r w:rsidR="004D13D0">
              <w:rPr>
                <w:rStyle w:val="212pt"/>
                <w:sz w:val="22"/>
                <w:szCs w:val="22"/>
              </w:rPr>
              <w:t>адзора</w:t>
            </w:r>
            <w:proofErr w:type="spellEnd"/>
            <w:r w:rsidR="004D13D0">
              <w:rPr>
                <w:rStyle w:val="212pt"/>
                <w:sz w:val="22"/>
                <w:szCs w:val="22"/>
              </w:rPr>
              <w:t xml:space="preserve">   по Хабаровскому краю, </w:t>
            </w:r>
            <w:r w:rsidRPr="009C2FCF">
              <w:rPr>
                <w:rStyle w:val="212pt"/>
                <w:sz w:val="22"/>
                <w:szCs w:val="22"/>
              </w:rPr>
              <w:t>Еврейской автономной</w:t>
            </w:r>
            <w:r w:rsidR="004D13D0">
              <w:rPr>
                <w:rStyle w:val="212pt"/>
                <w:sz w:val="22"/>
                <w:szCs w:val="22"/>
              </w:rPr>
              <w:t xml:space="preserve"> 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 </w:t>
            </w:r>
            <w:r w:rsidRPr="009C2FCF">
              <w:rPr>
                <w:rStyle w:val="212pt"/>
                <w:sz w:val="22"/>
                <w:szCs w:val="22"/>
              </w:rPr>
              <w:t xml:space="preserve">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6315CB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FC04A0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proofErr w:type="spellStart"/>
            <w:r w:rsidR="00FC04A0"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 w:rsidR="00FC04A0">
              <w:rPr>
                <w:rStyle w:val="212pt"/>
                <w:sz w:val="22"/>
                <w:szCs w:val="22"/>
              </w:rPr>
              <w:t xml:space="preserve"> </w:t>
            </w:r>
            <w:r w:rsidR="00FC04A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FC04A0">
              <w:rPr>
                <w:rStyle w:val="212pt"/>
                <w:sz w:val="22"/>
                <w:szCs w:val="22"/>
              </w:rPr>
              <w:t xml:space="preserve">Октябрьского </w:t>
            </w:r>
            <w:r w:rsidR="00FC04A0"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по Хабаровскому краю</w:t>
            </w:r>
            <w:r w:rsidR="004D13D0">
              <w:rPr>
                <w:rStyle w:val="212pt"/>
                <w:sz w:val="22"/>
                <w:szCs w:val="22"/>
              </w:rPr>
              <w:t xml:space="preserve">,  </w:t>
            </w:r>
            <w:r w:rsidRPr="009C2FCF">
              <w:rPr>
                <w:rStyle w:val="212pt"/>
                <w:sz w:val="22"/>
                <w:szCs w:val="22"/>
              </w:rPr>
              <w:t xml:space="preserve"> Еврейской автономной</w:t>
            </w:r>
            <w:r w:rsidR="004D13D0">
              <w:rPr>
                <w:rStyle w:val="212pt"/>
                <w:sz w:val="22"/>
                <w:szCs w:val="22"/>
              </w:rPr>
              <w:t xml:space="preserve"> 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</w:t>
            </w: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FC04A0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5F0884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</w:t>
            </w:r>
            <w:r w:rsidR="004D13D0">
              <w:rPr>
                <w:rStyle w:val="212pt"/>
                <w:sz w:val="22"/>
                <w:szCs w:val="22"/>
              </w:rPr>
              <w:t>знадзора</w:t>
            </w:r>
            <w:proofErr w:type="spellEnd"/>
            <w:r w:rsidR="004D13D0">
              <w:rPr>
                <w:rStyle w:val="212pt"/>
                <w:sz w:val="22"/>
                <w:szCs w:val="22"/>
              </w:rPr>
              <w:t xml:space="preserve">  по Хабаровскому краю, </w:t>
            </w:r>
            <w:r w:rsidRPr="009C2FCF">
              <w:rPr>
                <w:rStyle w:val="212pt"/>
                <w:sz w:val="22"/>
                <w:szCs w:val="22"/>
              </w:rPr>
              <w:t>Еврейской автономной</w:t>
            </w:r>
            <w:r w:rsidR="004D13D0">
              <w:rPr>
                <w:rStyle w:val="212pt"/>
                <w:sz w:val="22"/>
                <w:szCs w:val="22"/>
              </w:rPr>
              <w:t xml:space="preserve"> 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  </w:t>
            </w: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FC04A0" w:rsidRDefault="007053AA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</w:t>
            </w:r>
            <w:r w:rsidR="004D13D0">
              <w:rPr>
                <w:rStyle w:val="212pt"/>
                <w:sz w:val="22"/>
                <w:szCs w:val="22"/>
              </w:rPr>
              <w:t>надзора   по Хабаровскому краю,</w:t>
            </w:r>
            <w:r w:rsidRPr="009C2FCF">
              <w:rPr>
                <w:rStyle w:val="212pt"/>
                <w:sz w:val="22"/>
                <w:szCs w:val="22"/>
              </w:rPr>
              <w:t xml:space="preserve"> Еврейской автономной</w:t>
            </w:r>
            <w:r w:rsidR="004D13D0">
              <w:rPr>
                <w:rStyle w:val="212pt"/>
                <w:sz w:val="22"/>
                <w:szCs w:val="22"/>
              </w:rPr>
              <w:t xml:space="preserve"> 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 </w:t>
            </w: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Закупку свиней у населения, за исключением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мероприятий по закупке свиней у населения в рамках мероприятий по ликвидации очага АЧС под контролем специалистов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Постоянно на период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FC04A0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lastRenderedPageBreak/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>
              <w:rPr>
                <w:rStyle w:val="212pt"/>
                <w:sz w:val="22"/>
                <w:szCs w:val="22"/>
              </w:rPr>
              <w:lastRenderedPageBreak/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</w:t>
            </w:r>
            <w:r w:rsidR="004D13D0">
              <w:rPr>
                <w:rStyle w:val="212pt"/>
                <w:sz w:val="22"/>
                <w:szCs w:val="22"/>
              </w:rPr>
              <w:t>надзора   по Хабаровскому краю,</w:t>
            </w:r>
            <w:r w:rsidRPr="009C2FCF">
              <w:rPr>
                <w:rStyle w:val="212pt"/>
                <w:sz w:val="22"/>
                <w:szCs w:val="22"/>
              </w:rPr>
              <w:t xml:space="preserve"> Еврейской автономной </w:t>
            </w:r>
            <w:r w:rsidR="004D13D0">
              <w:rPr>
                <w:rStyle w:val="212pt"/>
                <w:sz w:val="22"/>
                <w:szCs w:val="22"/>
              </w:rPr>
              <w:t>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 </w:t>
            </w: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FC04A0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Россельхозна</w:t>
            </w:r>
            <w:r w:rsidR="004D13D0">
              <w:rPr>
                <w:rStyle w:val="212pt"/>
                <w:sz w:val="22"/>
                <w:szCs w:val="22"/>
              </w:rPr>
              <w:t>дзора</w:t>
            </w:r>
            <w:proofErr w:type="spellEnd"/>
            <w:r w:rsidR="004D13D0">
              <w:rPr>
                <w:rStyle w:val="212pt"/>
                <w:sz w:val="22"/>
                <w:szCs w:val="22"/>
              </w:rPr>
              <w:t xml:space="preserve">   по Хабаровскому  краю, </w:t>
            </w:r>
            <w:r w:rsidRPr="009C2FCF">
              <w:rPr>
                <w:rStyle w:val="212pt"/>
                <w:sz w:val="22"/>
                <w:szCs w:val="22"/>
              </w:rPr>
              <w:t>Еврейской автономной</w:t>
            </w:r>
            <w:r w:rsidR="004D13D0">
              <w:rPr>
                <w:rStyle w:val="212pt"/>
                <w:sz w:val="22"/>
                <w:szCs w:val="22"/>
              </w:rPr>
              <w:t xml:space="preserve"> 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FC04A0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164C2B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FC04A0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proofErr w:type="spellStart"/>
            <w:r w:rsidR="00FC04A0"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 w:rsidR="00FC04A0">
              <w:rPr>
                <w:rStyle w:val="212pt"/>
                <w:sz w:val="22"/>
                <w:szCs w:val="22"/>
              </w:rPr>
              <w:t xml:space="preserve"> </w:t>
            </w:r>
            <w:r w:rsidR="00FC04A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FC04A0">
              <w:rPr>
                <w:rStyle w:val="212pt"/>
                <w:sz w:val="22"/>
                <w:szCs w:val="22"/>
              </w:rPr>
              <w:t xml:space="preserve">Октябрьского </w:t>
            </w:r>
            <w:r w:rsidR="00FC04A0" w:rsidRPr="009C2FCF">
              <w:rPr>
                <w:rStyle w:val="212pt"/>
                <w:sz w:val="22"/>
                <w:szCs w:val="22"/>
              </w:rPr>
              <w:lastRenderedPageBreak/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E93C61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Почта России           (по согласованию), логистические компании                   (по согласованию), </w:t>
            </w:r>
            <w:r w:rsidR="00E93C61">
              <w:rPr>
                <w:rStyle w:val="212pt"/>
                <w:sz w:val="22"/>
                <w:szCs w:val="22"/>
                <w:lang w:eastAsia="en-US"/>
              </w:rPr>
              <w:t xml:space="preserve">комитет информационных технологий и связи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правительства Еврейской автономной области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принятия решения территориального органа Федеральной службы по ветеринарному и фитосанитарному надзору</w:t>
            </w:r>
          </w:p>
        </w:tc>
        <w:tc>
          <w:tcPr>
            <w:tcW w:w="1950" w:type="dxa"/>
          </w:tcPr>
          <w:p w:rsidR="00FC04A0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</w:t>
            </w:r>
            <w:r w:rsidR="004D13D0"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 w:rsidRPr="009C2FCF">
              <w:rPr>
                <w:rStyle w:val="212pt"/>
                <w:sz w:val="22"/>
                <w:szCs w:val="22"/>
              </w:rPr>
              <w:t xml:space="preserve">управление </w:t>
            </w:r>
            <w:proofErr w:type="spellStart"/>
            <w:r w:rsidR="004D13D0" w:rsidRPr="009C2FCF">
              <w:rPr>
                <w:rStyle w:val="212pt"/>
                <w:sz w:val="22"/>
                <w:szCs w:val="22"/>
              </w:rPr>
              <w:t>Россельхо</w:t>
            </w:r>
            <w:r w:rsidR="004D13D0">
              <w:rPr>
                <w:rStyle w:val="212pt"/>
                <w:sz w:val="22"/>
                <w:szCs w:val="22"/>
              </w:rPr>
              <w:t>знадзора</w:t>
            </w:r>
            <w:proofErr w:type="spellEnd"/>
            <w:r w:rsidR="004D13D0">
              <w:rPr>
                <w:rStyle w:val="212pt"/>
                <w:sz w:val="22"/>
                <w:szCs w:val="22"/>
              </w:rPr>
              <w:t xml:space="preserve">   по Хабаровскому краю, Еврейской автономной                  и Магаданской областям</w:t>
            </w:r>
            <w:r w:rsidR="004D13D0"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  </w:t>
            </w:r>
            <w:r w:rsidR="004D13D0" w:rsidRPr="009C2FCF">
              <w:rPr>
                <w:rStyle w:val="212pt"/>
                <w:sz w:val="22"/>
                <w:szCs w:val="22"/>
              </w:rPr>
              <w:t xml:space="preserve">(по согласованию) </w:t>
            </w:r>
            <w:r w:rsidRPr="009C2FCF">
              <w:rPr>
                <w:rStyle w:val="212pt"/>
                <w:sz w:val="22"/>
                <w:szCs w:val="22"/>
              </w:rPr>
              <w:t xml:space="preserve"> управление автомобильных дорог и транспорта правительства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Перевозка свиней автомобильным транспортом осуществляется в сопровождении лица, ответственного за сдачу свиней, и специалиста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FC04A0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</w:p>
          <w:p w:rsidR="004867C0" w:rsidRPr="009C2FCF" w:rsidRDefault="00FC04A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Style w:val="212pt"/>
                <w:sz w:val="22"/>
                <w:szCs w:val="22"/>
              </w:rPr>
              <w:t>Амурзетского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Октябрьского </w:t>
            </w:r>
            <w:r w:rsidRPr="009C2FCF">
              <w:rPr>
                <w:rStyle w:val="212pt"/>
                <w:sz w:val="22"/>
                <w:szCs w:val="22"/>
              </w:rPr>
              <w:t>муниципального района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462DDF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г</w:t>
            </w:r>
            <w:r w:rsidR="0084005C"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 руководители хозяйств и 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E93C6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комитет информационных технологий и связ</w:t>
            </w:r>
            <w:r w:rsidR="00E93C61">
              <w:rPr>
                <w:rStyle w:val="212pt"/>
                <w:sz w:val="22"/>
                <w:szCs w:val="22"/>
              </w:rPr>
              <w:t xml:space="preserve">и Еврейской автономной области 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</w:t>
            </w:r>
            <w:r w:rsidR="004D13D0">
              <w:rPr>
                <w:rStyle w:val="212pt"/>
                <w:sz w:val="22"/>
                <w:szCs w:val="22"/>
              </w:rPr>
              <w:t xml:space="preserve">, </w:t>
            </w:r>
            <w:r w:rsidRPr="009C2FCF">
              <w:rPr>
                <w:rStyle w:val="212pt"/>
                <w:sz w:val="22"/>
                <w:szCs w:val="22"/>
              </w:rPr>
              <w:t>Еврейской автономной</w:t>
            </w:r>
            <w:r w:rsidR="004D13D0">
              <w:rPr>
                <w:rStyle w:val="212pt"/>
                <w:sz w:val="22"/>
                <w:szCs w:val="22"/>
              </w:rPr>
              <w:t xml:space="preserve"> и Магаданской областям</w:t>
            </w:r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r w:rsidR="004D13D0">
              <w:rPr>
                <w:rStyle w:val="212pt"/>
                <w:sz w:val="22"/>
                <w:szCs w:val="22"/>
              </w:rPr>
              <w:t xml:space="preserve">                         </w:t>
            </w:r>
            <w:r w:rsidRPr="009C2FCF">
              <w:rPr>
                <w:rStyle w:val="212pt"/>
                <w:sz w:val="22"/>
                <w:szCs w:val="22"/>
              </w:rPr>
              <w:t>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B6" w:rsidRDefault="008357B6">
      <w:r>
        <w:separator/>
      </w:r>
    </w:p>
  </w:endnote>
  <w:endnote w:type="continuationSeparator" w:id="0">
    <w:p w:rsidR="008357B6" w:rsidRDefault="0083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</w:t>
    </w:r>
    <w:r w:rsidRPr="008264B9">
      <w:rPr>
        <w:rFonts w:ascii="Calibri" w:hAnsi="Calibri"/>
        <w:sz w:val="16"/>
        <w:szCs w:val="16"/>
      </w:rPr>
      <w:t>2020-</w:t>
    </w:r>
    <w:r w:rsidR="008264B9" w:rsidRPr="008264B9">
      <w:rPr>
        <w:rFonts w:ascii="Calibri" w:hAnsi="Calibri"/>
        <w:sz w:val="16"/>
        <w:szCs w:val="16"/>
      </w:rPr>
      <w:t>315</w:t>
    </w:r>
    <w:r w:rsidRPr="008264B9">
      <w:rPr>
        <w:rFonts w:ascii="Calibri" w:hAnsi="Calibri"/>
        <w:sz w:val="16"/>
        <w:szCs w:val="16"/>
      </w:rPr>
      <w:t>-пг-УВ</w:t>
    </w:r>
    <w:r w:rsidRPr="0036749F">
      <w:rPr>
        <w:rFonts w:ascii="Calibri" w:hAnsi="Calibri"/>
        <w:sz w:val="16"/>
        <w:szCs w:val="16"/>
      </w:rPr>
      <w:t>(1)</w:t>
    </w:r>
  </w:p>
  <w:p w:rsidR="008B256A" w:rsidRDefault="008B25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/2020-</w:t>
    </w:r>
    <w:r w:rsidR="008264B9" w:rsidRPr="008264B9">
      <w:rPr>
        <w:rFonts w:ascii="Calibri" w:hAnsi="Calibri"/>
        <w:sz w:val="16"/>
        <w:szCs w:val="16"/>
      </w:rPr>
      <w:t>315</w:t>
    </w:r>
    <w:r w:rsidRPr="008264B9">
      <w:rPr>
        <w:rFonts w:ascii="Calibri" w:hAnsi="Calibri"/>
        <w:sz w:val="16"/>
        <w:szCs w:val="16"/>
      </w:rPr>
      <w:t>-пг-УВ(1</w:t>
    </w:r>
    <w:r w:rsidRPr="0036749F">
      <w:rPr>
        <w:rFonts w:ascii="Calibri" w:hAnsi="Calibri"/>
        <w:sz w:val="16"/>
        <w:szCs w:val="16"/>
      </w:rPr>
      <w:t>)</w:t>
    </w:r>
  </w:p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B6" w:rsidRDefault="008357B6">
      <w:r>
        <w:separator/>
      </w:r>
    </w:p>
  </w:footnote>
  <w:footnote w:type="continuationSeparator" w:id="0">
    <w:p w:rsidR="008357B6" w:rsidRDefault="0083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8264B9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8264B9">
      <w:rPr>
        <w:rFonts w:ascii="Times New Roman" w:hAnsi="Times New Roman" w:cs="Times New Roman"/>
        <w:noProof/>
        <w:sz w:val="24"/>
        <w:szCs w:val="24"/>
      </w:rPr>
      <w:t>11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4C2B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3F8C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01A"/>
    <w:rsid w:val="003C4B27"/>
    <w:rsid w:val="003C51B9"/>
    <w:rsid w:val="003C624D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3D0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5CB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663C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7B3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B9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7B6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91B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C1F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75C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04A0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42FC-9529-40FA-9D1C-9C24B4CA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7</cp:revision>
  <cp:lastPrinted>2020-09-01T23:57:00Z</cp:lastPrinted>
  <dcterms:created xsi:type="dcterms:W3CDTF">2020-08-13T02:04:00Z</dcterms:created>
  <dcterms:modified xsi:type="dcterms:W3CDTF">2020-09-14T06:37:00Z</dcterms:modified>
</cp:coreProperties>
</file>